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武夷山职业学院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2022级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茶艺与茶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文化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专业人才培养方案</w:t>
      </w:r>
    </w:p>
    <w:p>
      <w:pPr>
        <w:spacing w:line="320" w:lineRule="exact"/>
        <w:ind w:firstLine="602" w:firstLineChars="200"/>
        <w:rPr>
          <w:rFonts w:hint="eastAsia" w:ascii="仿宋_GB2312" w:hAnsi="仿宋" w:eastAsia="仿宋_GB2312" w:cs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一、专业名称及代码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1、专业名称: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茶艺与茶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文化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2、专业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代码：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540109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二、入学要求</w:t>
      </w:r>
    </w:p>
    <w:p>
      <w:pPr>
        <w:widowControl/>
        <w:snapToGrid w:val="0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招收参加全国统一高考的全日制应、历届高中毕业生，以及参加对口招生考试的同专业的中等专业学校、职业中专应届毕业生。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三、修业年限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本专业为全日制专科，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学制三年，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学生修完本专业人才培养方案所规定的课程，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符合各项具体要求，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准予毕业。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职业面向</w:t>
      </w:r>
    </w:p>
    <w:p>
      <w:pPr>
        <w:ind w:firstLine="482" w:firstLineChars="15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（一）职业岗位能力分析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本专业学生职业范围主要涉及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茶叶行</w:t>
      </w:r>
      <w:r>
        <w:rPr>
          <w:rFonts w:hint="eastAsia" w:ascii="仿宋" w:hAnsi="仿宋" w:eastAsia="仿宋" w:cs="仿宋"/>
          <w:sz w:val="32"/>
          <w:szCs w:val="32"/>
        </w:rPr>
        <w:t>业、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传统文化产</w:t>
      </w:r>
      <w:r>
        <w:rPr>
          <w:rFonts w:hint="eastAsia" w:ascii="仿宋" w:hAnsi="仿宋" w:eastAsia="仿宋" w:cs="仿宋"/>
          <w:sz w:val="32"/>
          <w:szCs w:val="32"/>
        </w:rPr>
        <w:t>业、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旅游业</w:t>
      </w:r>
      <w:r>
        <w:rPr>
          <w:rFonts w:hint="eastAsia" w:ascii="仿宋" w:hAnsi="仿宋" w:eastAsia="仿宋" w:cs="仿宋"/>
          <w:sz w:val="32"/>
          <w:szCs w:val="32"/>
        </w:rPr>
        <w:t>等行业。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（一）职业岗位能力分析</w:t>
      </w:r>
    </w:p>
    <w:tbl>
      <w:tblPr>
        <w:tblStyle w:val="4"/>
        <w:tblW w:w="92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596"/>
        <w:gridCol w:w="2475"/>
        <w:gridCol w:w="43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序号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职业岗位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岗位描述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岗位技能与素质要求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1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中级茶艺师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从事茶业企业门店销售及管理岗位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掌握基本的茶叶知识和待客礼节；掌握几种茶叶的简单冲泡方法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高级茶艺师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从事茶业企业门店销售及管理岗位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掌握基本的茶叶知识和待客礼节；掌握几种茶叶的简单冲泡方法；熟悉品茶用水知识，掌握茶叶质量分级知识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中级评茶员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从事茶业企业茶叶审评工作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鉴别茶叶品质，能辨别生茶和熟茶，新茶与陈茶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高级评茶员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从事茶业企业茶叶审评工作及茶叶定级工作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鉴别茶叶品质，能辨别生茶和熟茶，新茶与陈茶，茶叶品质高低及加工工艺对茶叶品质的影响。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职业资格证书要求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实行双证书制度。学生在取得毕业证的同时，达到全国计算机一级水平；英语达到国家三级。并至少持有以下证书之一：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中、高级茶艺师，中、高级评茶员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20" w:lineRule="exact"/>
        <w:ind w:firstLine="602" w:firstLineChars="200"/>
        <w:rPr>
          <w:rFonts w:hint="eastAsia" w:ascii="仿宋_GB2312" w:hAnsi="仿宋" w:eastAsia="仿宋_GB2312" w:cs="宋体"/>
          <w:b/>
          <w:bCs/>
          <w:sz w:val="30"/>
          <w:szCs w:val="30"/>
        </w:rPr>
      </w:pPr>
    </w:p>
    <w:p>
      <w:pPr>
        <w:numPr>
          <w:ilvl w:val="0"/>
          <w:numId w:val="0"/>
        </w:num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五、培养目标：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本专业培养德、智、体、美、劳全面发展，基础扎实、知识面宽、操作技能强、素质良好，富有创新精神，具有扎实的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茶园管理技术及茶叶加工</w:t>
      </w:r>
      <w:r>
        <w:rPr>
          <w:rFonts w:hint="eastAsia" w:ascii="仿宋" w:hAnsi="仿宋" w:eastAsia="仿宋" w:cs="仿宋"/>
          <w:sz w:val="32"/>
          <w:szCs w:val="32"/>
        </w:rPr>
        <w:t>相关理论知识，熟悉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茶业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茶园管理技术及茶叶加工</w:t>
      </w:r>
      <w:r>
        <w:rPr>
          <w:rFonts w:hint="eastAsia" w:ascii="仿宋" w:hAnsi="仿宋" w:eastAsia="仿宋" w:cs="仿宋"/>
          <w:sz w:val="32"/>
          <w:szCs w:val="32"/>
        </w:rPr>
        <w:t>流程，能适应社会发展和经济建设所需要的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茶园管理技术及茶叶加工技术</w:t>
      </w:r>
      <w:r>
        <w:rPr>
          <w:rFonts w:hint="eastAsia" w:ascii="仿宋" w:hAnsi="仿宋" w:eastAsia="仿宋" w:cs="仿宋"/>
          <w:sz w:val="32"/>
          <w:szCs w:val="32"/>
        </w:rPr>
        <w:t>的高级应用性人才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课程设置及要求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（一）公共基础课程</w:t>
      </w:r>
    </w:p>
    <w:tbl>
      <w:tblPr>
        <w:tblStyle w:val="4"/>
        <w:tblpPr w:leftFromText="180" w:rightFromText="180" w:vertAnchor="text" w:horzAnchor="page" w:tblpX="1615" w:tblpY="1009"/>
        <w:tblOverlap w:val="never"/>
        <w:tblW w:w="96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6"/>
        <w:gridCol w:w="2376"/>
        <w:gridCol w:w="425"/>
        <w:gridCol w:w="709"/>
        <w:gridCol w:w="601"/>
        <w:gridCol w:w="533"/>
        <w:gridCol w:w="567"/>
        <w:gridCol w:w="567"/>
        <w:gridCol w:w="601"/>
        <w:gridCol w:w="675"/>
        <w:gridCol w:w="709"/>
        <w:gridCol w:w="459"/>
        <w:gridCol w:w="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课程类别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号</w:t>
            </w: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课程名称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性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质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总学时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学时分配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学年及学期周学时数</w:t>
            </w:r>
          </w:p>
        </w:tc>
        <w:tc>
          <w:tcPr>
            <w:tcW w:w="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23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理论学时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实践学时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一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二</w:t>
            </w:r>
          </w:p>
        </w:tc>
        <w:tc>
          <w:tcPr>
            <w:tcW w:w="11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三</w:t>
            </w:r>
          </w:p>
        </w:tc>
        <w:tc>
          <w:tcPr>
            <w:tcW w:w="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23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6</w:t>
            </w:r>
          </w:p>
        </w:tc>
        <w:tc>
          <w:tcPr>
            <w:tcW w:w="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基础素质课程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38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形势政策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英语（口语）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体育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计算机基础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大学生职业生涯规划与职业素养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大学生创新创业与就业指导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应用文写作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大学生心理健康教育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28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军事理论及军训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劳动课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580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356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专业（技能）课程</w:t>
      </w:r>
    </w:p>
    <w:tbl>
      <w:tblPr>
        <w:tblStyle w:val="4"/>
        <w:tblpPr w:leftFromText="180" w:rightFromText="180" w:vertAnchor="text" w:horzAnchor="page" w:tblpX="1785" w:tblpY="306"/>
        <w:tblOverlap w:val="never"/>
        <w:tblW w:w="91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8"/>
        <w:gridCol w:w="2180"/>
        <w:gridCol w:w="340"/>
        <w:gridCol w:w="658"/>
        <w:gridCol w:w="550"/>
        <w:gridCol w:w="630"/>
        <w:gridCol w:w="468"/>
        <w:gridCol w:w="429"/>
        <w:gridCol w:w="532"/>
        <w:gridCol w:w="532"/>
        <w:gridCol w:w="532"/>
        <w:gridCol w:w="533"/>
        <w:gridCol w:w="9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课程类别</w:t>
            </w: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号</w:t>
            </w:r>
          </w:p>
        </w:tc>
        <w:tc>
          <w:tcPr>
            <w:tcW w:w="21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课程名称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质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总学时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学时分配</w:t>
            </w:r>
          </w:p>
        </w:tc>
        <w:tc>
          <w:tcPr>
            <w:tcW w:w="30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学年及学期周学时数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理论学时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实践学时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一</w:t>
            </w:r>
          </w:p>
        </w:tc>
        <w:tc>
          <w:tcPr>
            <w:tcW w:w="10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二</w:t>
            </w: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三</w:t>
            </w:r>
          </w:p>
        </w:tc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5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6</w:t>
            </w:r>
          </w:p>
        </w:tc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专业基础课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茶学概论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茶与茶文化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服务礼仪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茶叶加工技术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茶园生产技术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茶叶生物化学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武夷岩茶加工制作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茶业经营管理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中外茶俗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茶疗养生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小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612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专业核心课课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中国茶艺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茶艺实训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茶叶审评技术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茶叶审评实训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茶叶市场营销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茶席设计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茶馆经营与管理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武夷岩茶加工制作实训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20天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20天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小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468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专业选修课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形体及化妆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选修课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古筝</w:t>
            </w: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选修课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中外饮食文化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选修课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茶具鉴赏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小     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216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</w:p>
        </w:tc>
      </w:tr>
    </w:tbl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0"/>
        </w:num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七、学分学时分配及课程设置：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（一）学分、学时分配</w:t>
      </w:r>
    </w:p>
    <w:p>
      <w:pPr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 类 课 程 学 时 学 分 分 配 表</w:t>
      </w:r>
    </w:p>
    <w:tbl>
      <w:tblPr>
        <w:tblStyle w:val="4"/>
        <w:tblW w:w="137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246"/>
        <w:gridCol w:w="1236"/>
        <w:gridCol w:w="1105"/>
        <w:gridCol w:w="1336"/>
        <w:gridCol w:w="2264"/>
        <w:gridCol w:w="340"/>
        <w:gridCol w:w="1540"/>
        <w:gridCol w:w="1540"/>
        <w:gridCol w:w="1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218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序号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课程类别</w:t>
            </w:r>
          </w:p>
        </w:tc>
        <w:tc>
          <w:tcPr>
            <w:tcW w:w="3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学时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比列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322" w:hRule="atLeast"/>
        </w:trPr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总学时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理论学时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实践学时</w:t>
            </w:r>
          </w:p>
        </w:tc>
        <w:tc>
          <w:tcPr>
            <w:tcW w:w="2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118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公共基础课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580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356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224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202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专业基础课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612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332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280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202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3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专业核心课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468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160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308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284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专业选修课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216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62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154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58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5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顶岗实习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720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720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总 计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2596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910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1686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100</w:t>
            </w:r>
          </w:p>
        </w:tc>
        <w:tc>
          <w:tcPr>
            <w:tcW w:w="340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仿宋_GB2312" w:hAnsi="仿宋" w:eastAsia="仿宋_GB2312" w:cs="宋体"/>
          <w:sz w:val="24"/>
          <w:szCs w:val="24"/>
        </w:rPr>
      </w:pPr>
      <w:r>
        <w:rPr>
          <w:rFonts w:hint="eastAsia" w:ascii="仿宋_GB2312" w:hAnsi="仿宋" w:eastAsia="仿宋_GB2312" w:cs="宋体"/>
          <w:sz w:val="24"/>
          <w:szCs w:val="24"/>
        </w:rPr>
        <w:t>（二）</w:t>
      </w:r>
      <w:r>
        <w:rPr>
          <w:rFonts w:hint="eastAsia" w:ascii="仿宋_GB2312" w:hAnsi="仿宋" w:eastAsia="仿宋_GB2312" w:cs="宋体"/>
          <w:sz w:val="24"/>
          <w:szCs w:val="24"/>
          <w:lang w:eastAsia="zh-CN"/>
        </w:rPr>
        <w:t>教学</w:t>
      </w:r>
      <w:r>
        <w:rPr>
          <w:rFonts w:hint="eastAsia" w:ascii="仿宋_GB2312" w:hAnsi="仿宋" w:eastAsia="仿宋_GB2312" w:cs="宋体"/>
          <w:sz w:val="24"/>
          <w:szCs w:val="24"/>
        </w:rPr>
        <w:t>课程设置表</w:t>
      </w:r>
    </w:p>
    <w:tbl>
      <w:tblPr>
        <w:tblStyle w:val="4"/>
        <w:tblW w:w="9225" w:type="dxa"/>
        <w:tblInd w:w="-27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551"/>
        <w:gridCol w:w="1917"/>
        <w:gridCol w:w="450"/>
        <w:gridCol w:w="686"/>
        <w:gridCol w:w="623"/>
        <w:gridCol w:w="684"/>
        <w:gridCol w:w="531"/>
        <w:gridCol w:w="456"/>
        <w:gridCol w:w="513"/>
        <w:gridCol w:w="525"/>
        <w:gridCol w:w="460"/>
        <w:gridCol w:w="472"/>
        <w:gridCol w:w="5"/>
        <w:gridCol w:w="90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课程类别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序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性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质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  <w:t>总</w:t>
            </w: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学时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学时分配</w:t>
            </w:r>
          </w:p>
        </w:tc>
        <w:tc>
          <w:tcPr>
            <w:tcW w:w="29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学年及学期周学时数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理论学时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实践学时</w:t>
            </w: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  <w:t>一</w:t>
            </w:r>
          </w:p>
        </w:tc>
        <w:tc>
          <w:tcPr>
            <w:tcW w:w="10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  <w:t>二</w:t>
            </w:r>
          </w:p>
        </w:tc>
        <w:tc>
          <w:tcPr>
            <w:tcW w:w="9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  <w:t>三</w:t>
            </w:r>
          </w:p>
        </w:tc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基础素质课程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思想道德修养与法律基础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形势政策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英语（口语）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体育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计算机基础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大学生职业生涯规划与职业素养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大学生创新创业与就业指导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10总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应用文写作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大学生心理健康教育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军事理论及军训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周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劳动课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1周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小计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580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356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224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专业基础课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茶学概论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茶与茶文化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茶艺服务礼仪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茶叶加工技术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  <w:t>古筝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形体训练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茶具鉴赏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茶业经营管理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中外茶俗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茶疗养生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小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专业核心课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中国茶艺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茶艺实训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茶叶审评技术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茶叶审评实训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茶叶市场营销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茶席设计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茶馆经营与管理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武夷茶文化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小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468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专业</w:t>
            </w: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  <w:t>选修</w:t>
            </w: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课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茶园生产技术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中外饮食文化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茶叶生物化学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武夷岩茶加工制作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小     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216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  <w:t>顶岗实习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顶岗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26周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</w:rPr>
              <w:t>学分/学时/周课时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i/>
                <w:i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</w:rPr>
              <w:t>合计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instrText xml:space="preserve"> = sum(C3:C10) \* MERGEFORMAT </w:instrText>
            </w: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t>910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910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t>2000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八、专业课程教学安排</w:t>
      </w:r>
    </w:p>
    <w:p>
      <w:pPr>
        <w:numPr>
          <w:ilvl w:val="0"/>
          <w:numId w:val="0"/>
        </w:numPr>
        <w:tabs>
          <w:tab w:val="left" w:pos="2325"/>
        </w:tabs>
        <w:spacing w:line="240" w:lineRule="auto"/>
        <w:ind w:firstLine="562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1、茶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文化</w:t>
      </w:r>
    </w:p>
    <w:tbl>
      <w:tblPr>
        <w:tblStyle w:val="4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30"/>
        <w:gridCol w:w="1018"/>
        <w:gridCol w:w="729"/>
        <w:gridCol w:w="1361"/>
        <w:gridCol w:w="878"/>
        <w:gridCol w:w="147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在课堂内外组织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俗文化、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运用丰富的传统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文化知识对客服务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文化常识、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俗文化、自然山水文化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茶叶加工</w:t>
      </w:r>
    </w:p>
    <w:tbl>
      <w:tblPr>
        <w:tblStyle w:val="4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30"/>
        <w:gridCol w:w="1018"/>
        <w:gridCol w:w="729"/>
        <w:gridCol w:w="1361"/>
        <w:gridCol w:w="878"/>
        <w:gridCol w:w="147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在课堂内外组织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六大茶类的初制加工工艺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通过理论的学习能够掌握六大茶类的初制加工工艺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六大茶类的初制加工工艺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茶叶审评技术</w:t>
      </w:r>
    </w:p>
    <w:tbl>
      <w:tblPr>
        <w:tblStyle w:val="4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30"/>
        <w:gridCol w:w="1018"/>
        <w:gridCol w:w="729"/>
        <w:gridCol w:w="1361"/>
        <w:gridCol w:w="878"/>
        <w:gridCol w:w="147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茶叶审评技术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在课堂内外组织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茶叶感官审评的基本流程，六大茶类的审评技术等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通过理论学习能够掌握茶叶感官审评的基本流程，六大茶类的审评技术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茶叶感官审评的基本流程，六大茶类的审评技术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茶叶市场营销</w:t>
      </w:r>
    </w:p>
    <w:tbl>
      <w:tblPr>
        <w:tblStyle w:val="4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30"/>
        <w:gridCol w:w="1018"/>
        <w:gridCol w:w="729"/>
        <w:gridCol w:w="1361"/>
        <w:gridCol w:w="878"/>
        <w:gridCol w:w="147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在课堂内外组织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茶叶市场营销，茶馆的经营与管理等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通过理论学习拥有掌握茶叶市场的基本管理能力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茶叶市场的基本管理，茶叶市场的调查等内容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5.茶馆经营与管理</w:t>
      </w:r>
    </w:p>
    <w:tbl>
      <w:tblPr>
        <w:tblStyle w:val="4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30"/>
        <w:gridCol w:w="1018"/>
        <w:gridCol w:w="729"/>
        <w:gridCol w:w="1361"/>
        <w:gridCol w:w="878"/>
        <w:gridCol w:w="147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在课堂内外组织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茶叶市场营销，茶馆的经营与管理等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通过理论学习拥有掌握茶叶市场的基本管理能力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茶叶市场的基本管理，茶叶市场的调查等内容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6.中国茶艺</w:t>
      </w:r>
    </w:p>
    <w:tbl>
      <w:tblPr>
        <w:tblStyle w:val="4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30"/>
        <w:gridCol w:w="1018"/>
        <w:gridCol w:w="729"/>
        <w:gridCol w:w="1361"/>
        <w:gridCol w:w="878"/>
        <w:gridCol w:w="147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在课堂内外组织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六大茶类的冲泡技巧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通过理论学习掌握六大茶类的冲泡技巧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六大茶类的冲泡技巧，六大茶类冲泡的茶水比等内容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茶艺与茶叶营销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顶岗实习</w:t>
      </w:r>
    </w:p>
    <w:tbl>
      <w:tblPr>
        <w:tblStyle w:val="4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814"/>
        <w:gridCol w:w="1136"/>
        <w:gridCol w:w="857"/>
        <w:gridCol w:w="1404"/>
        <w:gridCol w:w="686"/>
        <w:gridCol w:w="1317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茶艺与茶叶营销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专业顶岗实习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5、6</w:t>
            </w:r>
          </w:p>
        </w:tc>
        <w:tc>
          <w:tcPr>
            <w:tcW w:w="1136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857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1190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686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072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结合就业，在校外实训基地进行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周的专业教学顶岗实习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就业意向岗位的专业知识和技能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具备从事岗位的专业基础技能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针对就业意向岗位，为就业作好心理准备，为实现零距离就业的过渡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tabs>
          <w:tab w:val="left" w:pos="2325"/>
        </w:tabs>
        <w:spacing w:line="24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茶艺与茶叶营销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毕业设计</w:t>
      </w:r>
    </w:p>
    <w:tbl>
      <w:tblPr>
        <w:tblStyle w:val="4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9"/>
        <w:gridCol w:w="846"/>
        <w:gridCol w:w="1211"/>
        <w:gridCol w:w="825"/>
        <w:gridCol w:w="1382"/>
        <w:gridCol w:w="590"/>
        <w:gridCol w:w="1339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gridSpan w:val="2"/>
            <w:vAlign w:val="center"/>
          </w:tcPr>
          <w:p>
            <w:pPr>
              <w:tabs>
                <w:tab w:val="left" w:pos="2325"/>
              </w:tabs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tabs>
                <w:tab w:val="left" w:pos="2325"/>
              </w:tabs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211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382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590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211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13" w:type="dxa"/>
            <w:gridSpan w:val="8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在指导老师的指导下，对行业、企业具体问题进行思考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13" w:type="dxa"/>
            <w:gridSpan w:val="8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项目设计、方案设计、产品设计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13" w:type="dxa"/>
            <w:gridSpan w:val="8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13" w:type="dxa"/>
            <w:gridSpan w:val="8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项目设计、方案设计、产品设计、流程设计的实践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13" w:type="dxa"/>
            <w:gridSpan w:val="8"/>
            <w:vAlign w:val="center"/>
          </w:tcPr>
          <w:p>
            <w:pPr>
              <w:tabs>
                <w:tab w:val="left" w:pos="2325"/>
              </w:tabs>
              <w:spacing w:line="240" w:lineRule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九、成绩考核与毕业：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（一）成绩考核：体现学生自我评价、相互评价、教师评价；理论考试与实操考核相结合的学业成绩考核机制。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（二）毕业条件：（满足学分制要求）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院实行学年学分制，总学分13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分，学生取满总学分方可毕业。未取满学分的学生，经申请可继续留校复习，参加选修课学习或参加其它拓展学习活动取得学分</w:t>
      </w:r>
    </w:p>
    <w:p>
      <w:pPr>
        <w:numPr>
          <w:ilvl w:val="0"/>
          <w:numId w:val="0"/>
        </w:num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十、专业课教材推荐：</w:t>
      </w:r>
    </w:p>
    <w:tbl>
      <w:tblPr>
        <w:tblStyle w:val="5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817"/>
        <w:gridCol w:w="2442"/>
        <w:gridCol w:w="1168"/>
        <w:gridCol w:w="2475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课程名称</w:t>
            </w:r>
          </w:p>
        </w:tc>
        <w:tc>
          <w:tcPr>
            <w:tcW w:w="24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教材名称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作者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出版社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茶叶市场营销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茶叶市场营销学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姜含春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ind w:firstLine="420" w:firstLineChars="200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中国农业出版社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茶叶审评技术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茶叶审评与检验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施兆鹏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ind w:firstLine="420" w:firstLineChars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中国农业出版社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中国茶艺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ind w:firstLine="420" w:firstLineChars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中华茶道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张顺义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ind w:firstLine="420" w:firstLineChars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线装书局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茶与茶文化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中国茶道与茶文化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罗学亮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ind w:firstLine="420" w:firstLineChars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金盾出版社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茶叶加工技术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ind w:firstLine="420" w:firstLineChars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制茶学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陈椽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ind w:firstLine="420" w:firstLineChars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中国农业出版社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茶馆经营管理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茶馆经营管理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罗学平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中国轻工业出版社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茶园生产技术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茶树栽培学</w:t>
            </w:r>
          </w:p>
        </w:tc>
        <w:tc>
          <w:tcPr>
            <w:tcW w:w="11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骆耀平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ind w:firstLine="420" w:firstLineChars="2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中国农业出版社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茶叶包装与储运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食品包装学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董同力嘎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科学出版社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茶叶生物化学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茶叶生物化学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宛晓春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中国农业出版社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茶席设计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茶席设计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乔木森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156" w:beforeLines="50" w:after="100" w:afterAutospacing="1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上海文艺出版社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十一、办学条件：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（一）师资队伍情况（含企业师傅、学校导师配备情况）</w:t>
      </w:r>
    </w:p>
    <w:tbl>
      <w:tblPr>
        <w:tblStyle w:val="4"/>
        <w:tblW w:w="9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870"/>
        <w:gridCol w:w="1291"/>
        <w:gridCol w:w="643"/>
        <w:gridCol w:w="1189"/>
        <w:gridCol w:w="878"/>
        <w:gridCol w:w="697"/>
        <w:gridCol w:w="1570"/>
        <w:gridCol w:w="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配 备 教 师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出生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职称/职务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茶叶市场营销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吴梅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1991.01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副教授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厦门大学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茶叶审评技术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肖芳玉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1991.01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福建农林大学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中国茶艺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孔凡鲁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1991.07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茶与茶文化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王边婷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1990-06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助教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茶叶加工技术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钟以谷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1982-10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助教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茶馆经营管理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孔凡鲁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1991.07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茶园生产技术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李远华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1963.07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博士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安徽农大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茶叶包装与储运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钟燕萍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1993.08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茶叶生物化学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钟燕萍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1993.08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茶席设计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孔凡鲁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1991.07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茶学概论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钟燕萍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1993.08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(二)教学设施（应与教学安排相匹配）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1.校内实训设施设备</w:t>
      </w:r>
    </w:p>
    <w:tbl>
      <w:tblPr>
        <w:tblStyle w:val="4"/>
        <w:tblW w:w="9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836"/>
        <w:gridCol w:w="4382"/>
        <w:gridCol w:w="1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序号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名称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实训</w:t>
            </w: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内容及</w:t>
            </w: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实训设施设备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茶艺实训室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茶艺演示厅及相关茶艺设备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茶叶审评实训室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茶叶审评演示操作及相关审评设备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名优茶茶叶加工车间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茶叶加工操作及相关设备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武夷岩茶传统加工车间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武夷岩茶传统加工操作及相关设备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ind w:firstLine="640"/>
        <w:rPr>
          <w:rFonts w:hint="eastAsia" w:ascii="仿宋_GB2312" w:hAnsi="仿宋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24"/>
          <w:szCs w:val="24"/>
        </w:rPr>
        <w:t>2.</w:t>
      </w:r>
      <w:r>
        <w:rPr>
          <w:rFonts w:hint="eastAsia" w:ascii="仿宋_GB2312" w:hAnsi="仿宋" w:eastAsia="仿宋_GB2312" w:cs="宋体"/>
          <w:kern w:val="0"/>
          <w:sz w:val="24"/>
          <w:szCs w:val="24"/>
          <w:lang w:eastAsia="zh-CN"/>
        </w:rPr>
        <w:t>校外（</w:t>
      </w:r>
      <w:r>
        <w:rPr>
          <w:rFonts w:hint="eastAsia" w:ascii="仿宋_GB2312" w:hAnsi="仿宋" w:eastAsia="仿宋_GB2312" w:cs="宋体"/>
          <w:kern w:val="0"/>
          <w:sz w:val="24"/>
          <w:szCs w:val="24"/>
        </w:rPr>
        <w:t>企业</w:t>
      </w:r>
      <w:r>
        <w:rPr>
          <w:rFonts w:hint="eastAsia" w:ascii="仿宋_GB2312" w:hAnsi="仿宋" w:eastAsia="仿宋_GB2312" w:cs="宋体"/>
          <w:kern w:val="0"/>
          <w:sz w:val="24"/>
          <w:szCs w:val="24"/>
          <w:lang w:eastAsia="zh-CN"/>
        </w:rPr>
        <w:t>）实训基地</w:t>
      </w:r>
    </w:p>
    <w:tbl>
      <w:tblPr>
        <w:tblStyle w:val="4"/>
        <w:tblW w:w="91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860"/>
        <w:gridCol w:w="4361"/>
        <w:gridCol w:w="11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序号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名称</w:t>
            </w:r>
          </w:p>
        </w:tc>
        <w:tc>
          <w:tcPr>
            <w:tcW w:w="4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实训</w:t>
            </w: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  <w:lang w:eastAsia="zh-CN"/>
              </w:rPr>
              <w:t>内容及</w:t>
            </w: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设施设备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武夷山煜龙堂茶业有限公司</w:t>
            </w:r>
          </w:p>
        </w:tc>
        <w:tc>
          <w:tcPr>
            <w:tcW w:w="4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茶艺师及审评员各岗位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武夷山易知足茶业有限公司</w:t>
            </w:r>
          </w:p>
        </w:tc>
        <w:tc>
          <w:tcPr>
            <w:tcW w:w="4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茶馆模拟经营实训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武夷山香江茶叶有限公司</w:t>
            </w:r>
          </w:p>
        </w:tc>
        <w:tc>
          <w:tcPr>
            <w:tcW w:w="4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lang w:eastAsia="zh-CN"/>
              </w:rPr>
              <w:t>茶叶包装、茶席设计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166F65"/>
    <w:multiLevelType w:val="singleLevel"/>
    <w:tmpl w:val="DA166F6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E65103"/>
    <w:multiLevelType w:val="singleLevel"/>
    <w:tmpl w:val="18E6510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44140"/>
    <w:rsid w:val="01217175"/>
    <w:rsid w:val="01CD56B0"/>
    <w:rsid w:val="02017B28"/>
    <w:rsid w:val="02D83EDF"/>
    <w:rsid w:val="0320237D"/>
    <w:rsid w:val="03374E74"/>
    <w:rsid w:val="03F61328"/>
    <w:rsid w:val="04D05E8C"/>
    <w:rsid w:val="05736ED4"/>
    <w:rsid w:val="05A434F0"/>
    <w:rsid w:val="05D05216"/>
    <w:rsid w:val="05F666D3"/>
    <w:rsid w:val="060D7CE3"/>
    <w:rsid w:val="07E02638"/>
    <w:rsid w:val="0848360F"/>
    <w:rsid w:val="08B43F6C"/>
    <w:rsid w:val="0A563D5D"/>
    <w:rsid w:val="0B970466"/>
    <w:rsid w:val="0BC61D5D"/>
    <w:rsid w:val="0DA710AF"/>
    <w:rsid w:val="0DE4407D"/>
    <w:rsid w:val="0E4A77F9"/>
    <w:rsid w:val="10572C0F"/>
    <w:rsid w:val="106153A3"/>
    <w:rsid w:val="111B2643"/>
    <w:rsid w:val="11B93613"/>
    <w:rsid w:val="11C60710"/>
    <w:rsid w:val="11F001AF"/>
    <w:rsid w:val="121B7658"/>
    <w:rsid w:val="122221AA"/>
    <w:rsid w:val="1309196C"/>
    <w:rsid w:val="133A0F6D"/>
    <w:rsid w:val="13634925"/>
    <w:rsid w:val="1374465F"/>
    <w:rsid w:val="140434FA"/>
    <w:rsid w:val="15C8471A"/>
    <w:rsid w:val="16D20251"/>
    <w:rsid w:val="16DB1009"/>
    <w:rsid w:val="16E43F7D"/>
    <w:rsid w:val="17254AAA"/>
    <w:rsid w:val="17C34C55"/>
    <w:rsid w:val="17F75B93"/>
    <w:rsid w:val="1834402B"/>
    <w:rsid w:val="183F0E65"/>
    <w:rsid w:val="18A313B1"/>
    <w:rsid w:val="193452DE"/>
    <w:rsid w:val="19C75E52"/>
    <w:rsid w:val="1A1D426C"/>
    <w:rsid w:val="1AA73377"/>
    <w:rsid w:val="1ACC7BEB"/>
    <w:rsid w:val="1AE05579"/>
    <w:rsid w:val="1B537A4E"/>
    <w:rsid w:val="1C0822CF"/>
    <w:rsid w:val="1C6321CD"/>
    <w:rsid w:val="1C774578"/>
    <w:rsid w:val="1D09485C"/>
    <w:rsid w:val="1D294464"/>
    <w:rsid w:val="1DB70B91"/>
    <w:rsid w:val="1E4B3057"/>
    <w:rsid w:val="1EFF0C81"/>
    <w:rsid w:val="204B1191"/>
    <w:rsid w:val="204D6EBE"/>
    <w:rsid w:val="20A607AC"/>
    <w:rsid w:val="20E115A8"/>
    <w:rsid w:val="210B129D"/>
    <w:rsid w:val="232408ED"/>
    <w:rsid w:val="23DB76E6"/>
    <w:rsid w:val="244B3BBD"/>
    <w:rsid w:val="24ED748A"/>
    <w:rsid w:val="25C65F46"/>
    <w:rsid w:val="26946966"/>
    <w:rsid w:val="26C471D4"/>
    <w:rsid w:val="277739E6"/>
    <w:rsid w:val="298C7C37"/>
    <w:rsid w:val="2A2A545E"/>
    <w:rsid w:val="2AB97A96"/>
    <w:rsid w:val="2ADE3897"/>
    <w:rsid w:val="2BE3350C"/>
    <w:rsid w:val="2CB26DD1"/>
    <w:rsid w:val="2CE903C9"/>
    <w:rsid w:val="2D5371C4"/>
    <w:rsid w:val="2D8C77C9"/>
    <w:rsid w:val="2E87628B"/>
    <w:rsid w:val="2F047158"/>
    <w:rsid w:val="2FFE7773"/>
    <w:rsid w:val="30095A3A"/>
    <w:rsid w:val="312946C6"/>
    <w:rsid w:val="31CA7AF3"/>
    <w:rsid w:val="31D276E4"/>
    <w:rsid w:val="3277215C"/>
    <w:rsid w:val="32A22A18"/>
    <w:rsid w:val="33850840"/>
    <w:rsid w:val="33AD618F"/>
    <w:rsid w:val="33C75F14"/>
    <w:rsid w:val="34931795"/>
    <w:rsid w:val="34EE784D"/>
    <w:rsid w:val="35566827"/>
    <w:rsid w:val="3607652B"/>
    <w:rsid w:val="365B1126"/>
    <w:rsid w:val="36944140"/>
    <w:rsid w:val="36CF4E00"/>
    <w:rsid w:val="3785033A"/>
    <w:rsid w:val="37B30641"/>
    <w:rsid w:val="37D449C6"/>
    <w:rsid w:val="38786BB0"/>
    <w:rsid w:val="394979B9"/>
    <w:rsid w:val="39517A08"/>
    <w:rsid w:val="3A797984"/>
    <w:rsid w:val="3A7B2809"/>
    <w:rsid w:val="3A91729E"/>
    <w:rsid w:val="3B003967"/>
    <w:rsid w:val="3B3911DE"/>
    <w:rsid w:val="3C5A74F5"/>
    <w:rsid w:val="3C783B58"/>
    <w:rsid w:val="3D1831AA"/>
    <w:rsid w:val="3D315546"/>
    <w:rsid w:val="3D4E23AB"/>
    <w:rsid w:val="3DC93023"/>
    <w:rsid w:val="3EB7212C"/>
    <w:rsid w:val="400E59EC"/>
    <w:rsid w:val="405C3230"/>
    <w:rsid w:val="40D37EFC"/>
    <w:rsid w:val="40E1788D"/>
    <w:rsid w:val="41354E85"/>
    <w:rsid w:val="41546D84"/>
    <w:rsid w:val="41986191"/>
    <w:rsid w:val="41A542D6"/>
    <w:rsid w:val="41AD0665"/>
    <w:rsid w:val="42393C12"/>
    <w:rsid w:val="43136011"/>
    <w:rsid w:val="43607411"/>
    <w:rsid w:val="436D2C7A"/>
    <w:rsid w:val="4382491D"/>
    <w:rsid w:val="4406350B"/>
    <w:rsid w:val="450023C1"/>
    <w:rsid w:val="457F4FF7"/>
    <w:rsid w:val="46562B30"/>
    <w:rsid w:val="465774BF"/>
    <w:rsid w:val="471A432A"/>
    <w:rsid w:val="47A85668"/>
    <w:rsid w:val="49211F80"/>
    <w:rsid w:val="4966053F"/>
    <w:rsid w:val="4AA96446"/>
    <w:rsid w:val="4B3E04A0"/>
    <w:rsid w:val="4B4C72CA"/>
    <w:rsid w:val="4D381AB2"/>
    <w:rsid w:val="4E445F5B"/>
    <w:rsid w:val="4F27728E"/>
    <w:rsid w:val="4F9C169F"/>
    <w:rsid w:val="501E174F"/>
    <w:rsid w:val="50577FB3"/>
    <w:rsid w:val="50C336CE"/>
    <w:rsid w:val="51164B56"/>
    <w:rsid w:val="521950A5"/>
    <w:rsid w:val="526041E4"/>
    <w:rsid w:val="526A4EA2"/>
    <w:rsid w:val="543C4DD8"/>
    <w:rsid w:val="549215F3"/>
    <w:rsid w:val="54D31633"/>
    <w:rsid w:val="55193A8C"/>
    <w:rsid w:val="57B66A89"/>
    <w:rsid w:val="587004B4"/>
    <w:rsid w:val="593477FF"/>
    <w:rsid w:val="59584C64"/>
    <w:rsid w:val="59E35940"/>
    <w:rsid w:val="5A5A33B0"/>
    <w:rsid w:val="5B003BB0"/>
    <w:rsid w:val="5B025239"/>
    <w:rsid w:val="5B0E01F7"/>
    <w:rsid w:val="5BAE75B0"/>
    <w:rsid w:val="5CD31294"/>
    <w:rsid w:val="5D403783"/>
    <w:rsid w:val="5D5012C6"/>
    <w:rsid w:val="5D667ED0"/>
    <w:rsid w:val="5DA76667"/>
    <w:rsid w:val="5EAC3FBC"/>
    <w:rsid w:val="5EC65AD2"/>
    <w:rsid w:val="5FDE27A5"/>
    <w:rsid w:val="61153892"/>
    <w:rsid w:val="613138E9"/>
    <w:rsid w:val="614614B7"/>
    <w:rsid w:val="61A565BC"/>
    <w:rsid w:val="61F30224"/>
    <w:rsid w:val="62442054"/>
    <w:rsid w:val="63595957"/>
    <w:rsid w:val="637303F0"/>
    <w:rsid w:val="63E60EEB"/>
    <w:rsid w:val="64BF35B2"/>
    <w:rsid w:val="65210B1D"/>
    <w:rsid w:val="6585050C"/>
    <w:rsid w:val="66DE5BF6"/>
    <w:rsid w:val="67651C2B"/>
    <w:rsid w:val="679B39C7"/>
    <w:rsid w:val="6900050A"/>
    <w:rsid w:val="694675D1"/>
    <w:rsid w:val="6A0D3577"/>
    <w:rsid w:val="6A393CFB"/>
    <w:rsid w:val="6A5C0599"/>
    <w:rsid w:val="6A7E1B56"/>
    <w:rsid w:val="6A8E400D"/>
    <w:rsid w:val="6BD21131"/>
    <w:rsid w:val="6CA71A20"/>
    <w:rsid w:val="6D140DC1"/>
    <w:rsid w:val="6D927944"/>
    <w:rsid w:val="6DCD64B9"/>
    <w:rsid w:val="6EFC2109"/>
    <w:rsid w:val="6F0C7366"/>
    <w:rsid w:val="6F123F27"/>
    <w:rsid w:val="6F361935"/>
    <w:rsid w:val="70AC0519"/>
    <w:rsid w:val="711A7828"/>
    <w:rsid w:val="71325551"/>
    <w:rsid w:val="71E1535A"/>
    <w:rsid w:val="721C7B02"/>
    <w:rsid w:val="725D0D0B"/>
    <w:rsid w:val="73735D00"/>
    <w:rsid w:val="7452391A"/>
    <w:rsid w:val="76246559"/>
    <w:rsid w:val="776A0337"/>
    <w:rsid w:val="776D3545"/>
    <w:rsid w:val="7A925850"/>
    <w:rsid w:val="7AB6552B"/>
    <w:rsid w:val="7B867311"/>
    <w:rsid w:val="7C0C5E71"/>
    <w:rsid w:val="7C2A0AC1"/>
    <w:rsid w:val="7CCE7767"/>
    <w:rsid w:val="7D246335"/>
    <w:rsid w:val="7DB4739B"/>
    <w:rsid w:val="7DBA221A"/>
    <w:rsid w:val="7DBF0DC2"/>
    <w:rsid w:val="7DD803EB"/>
    <w:rsid w:val="7DF07884"/>
    <w:rsid w:val="7DFB5AD2"/>
    <w:rsid w:val="7E077703"/>
    <w:rsid w:val="7EC20763"/>
    <w:rsid w:val="7F4A2D4D"/>
    <w:rsid w:val="7F7312C1"/>
    <w:rsid w:val="7F8B39FB"/>
    <w:rsid w:val="7FA52F7A"/>
    <w:rsid w:val="7FB83D4B"/>
    <w:rsid w:val="7FC763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2016-09-02T00:38:00Z</dcterms:created>
  <dc:creator>Administrator</dc:creator>
  <cp:lastModifiedBy>Administrator</cp:lastModifiedBy>
  <cp:lastPrinted>2016-09-03T03:20:00Z</cp:lastPrinted>
  <dcterms:modified xsi:type="dcterms:W3CDTF">2023-06-02T03:17:48Z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1B69D62D2BFE4A91AAF008C71F0E8E6F</vt:lpwstr>
  </property>
</Properties>
</file>